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b/>
        </w:rPr>
        <w:t>A KRÍZIS KONTROLL Vagyonkezelő Korlátolt Felelősségű Társaság</w:t>
      </w:r>
      <w:r>
        <w:rPr/>
        <w:t>, (s</w:t>
      </w:r>
      <w:r>
        <w:rPr>
          <w:i/>
          <w:iCs/>
        </w:rPr>
        <w:t>zékhely</w:t>
      </w:r>
      <w:r>
        <w:rPr/>
        <w:t xml:space="preserve">: 1111 Budapest, Bicskei u. 6. fsz. 2. </w:t>
      </w:r>
      <w:r>
        <w:rPr>
          <w:i/>
        </w:rPr>
        <w:t>cégjegyzékszám</w:t>
      </w:r>
      <w:r>
        <w:rPr/>
        <w:t xml:space="preserve">: </w:t>
      </w:r>
      <w:r>
        <w:rPr/>
        <w:fldChar w:fldCharType="begin"/>
      </w:r>
      <w:r>
        <w:rPr/>
        <w:instrText> MERGEFIELD acégjegyzékszám </w:instrText>
      </w:r>
      <w:r>
        <w:rPr/>
        <w:fldChar w:fldCharType="separate"/>
      </w:r>
      <w:r>
        <w:rPr/>
        <w:t>01-09-173701</w:t>
      </w:r>
      <w:r>
        <w:rPr/>
        <w:fldChar w:fldCharType="end"/>
      </w:r>
      <w:r>
        <w:rPr/>
        <w:t xml:space="preserve">, </w:t>
      </w:r>
      <w:r>
        <w:rPr>
          <w:i/>
        </w:rPr>
        <w:t>adószám</w:t>
      </w:r>
      <w:r>
        <w:rPr/>
        <w:t xml:space="preserve">: </w:t>
      </w:r>
      <w:r>
        <w:rPr/>
        <w:fldChar w:fldCharType="begin"/>
      </w:r>
      <w:r>
        <w:rPr/>
        <w:instrText> MERGEFIELD aadószám </w:instrText>
      </w:r>
      <w:r>
        <w:rPr/>
        <w:fldChar w:fldCharType="separate"/>
      </w:r>
      <w:r>
        <w:rPr/>
        <w:t>24366878-2-43</w:t>
      </w:r>
      <w:r>
        <w:rPr/>
        <w:fldChar w:fldCharType="end"/>
      </w:r>
      <w:r>
        <w:rPr/>
        <w:t>), mint</w:t>
      </w:r>
      <w:r>
        <w:rPr>
          <w:b/>
        </w:rPr>
        <w:t xml:space="preserve"> a </w:t>
      </w:r>
      <w:r>
        <w:rPr>
          <w:b/>
          <w:bCs/>
        </w:rPr>
        <w:fldChar w:fldCharType="begin"/>
      </w:r>
      <w:r>
        <w:rPr>
          <w:b/>
          <w:bCs/>
        </w:rPr>
        <w:instrText> MERGEFIELD Cégnév </w:instrText>
      </w:r>
      <w:r>
        <w:rPr>
          <w:b/>
          <w:bCs/>
        </w:rPr>
        <w:fldChar w:fldCharType="separate"/>
      </w:r>
      <w:r>
        <w:rPr>
          <w:b/>
          <w:bCs/>
        </w:rPr>
        <w:t>KISTEXT Pamutipari Zártkörűen Működő Részvénytársaság "felszámolás alatt"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/>
        <w:t>(</w:t>
      </w:r>
      <w:r>
        <w:rPr>
          <w:i/>
        </w:rPr>
        <w:t>székhelye:</w:t>
      </w:r>
      <w:r>
        <w:rPr/>
        <w:t xml:space="preserve"> </w:t>
      </w:r>
      <w:r>
        <w:rPr/>
        <w:fldChar w:fldCharType="begin"/>
      </w:r>
      <w:r>
        <w:rPr/>
        <w:instrText> MERGEFIELD Címe </w:instrText>
      </w:r>
      <w:r>
        <w:rPr/>
        <w:fldChar w:fldCharType="separate"/>
      </w:r>
      <w:r>
        <w:rPr/>
        <w:t>1184 Budapest, Fáy u. 2. szám</w:t>
      </w:r>
      <w:r>
        <w:rPr/>
        <w:fldChar w:fldCharType="end"/>
      </w:r>
      <w:r>
        <w:rPr/>
        <w:t xml:space="preserve">; </w:t>
      </w:r>
      <w:r>
        <w:rPr>
          <w:i/>
        </w:rPr>
        <w:t>cégjegyzékszám:</w:t>
      </w:r>
      <w:r>
        <w:rPr/>
        <w:t xml:space="preserve"> </w:t>
      </w:r>
      <w:r>
        <w:rPr/>
        <w:fldChar w:fldCharType="begin"/>
      </w:r>
      <w:r>
        <w:rPr/>
        <w:instrText> MERGEFIELD Cégjegyzékszám </w:instrText>
      </w:r>
      <w:r>
        <w:rPr/>
        <w:fldChar w:fldCharType="separate"/>
      </w:r>
      <w:r>
        <w:rPr/>
        <w:t>01 10 041950</w:t>
      </w:r>
      <w:r>
        <w:rPr/>
        <w:fldChar w:fldCharType="end"/>
      </w:r>
      <w:r>
        <w:rPr>
          <w:i/>
        </w:rPr>
        <w:t>; adószám:</w:t>
      </w:r>
      <w:r>
        <w:rPr/>
        <w:t xml:space="preserve"> </w:t>
      </w:r>
      <w:r>
        <w:rPr/>
        <w:fldChar w:fldCharType="begin"/>
      </w:r>
      <w:r>
        <w:rPr/>
        <w:instrText> MERGEFIELD Adószáma </w:instrText>
      </w:r>
      <w:r>
        <w:rPr/>
        <w:fldChar w:fldCharType="separate"/>
      </w:r>
      <w:r>
        <w:rPr/>
        <w:t>10776009-2-43</w:t>
      </w:r>
      <w:r>
        <w:rPr/>
        <w:fldChar w:fldCharType="end"/>
      </w:r>
      <w:r>
        <w:rPr/>
        <w:t xml:space="preserve">) </w:t>
      </w:r>
      <w:r>
        <w:rPr>
          <w:b/>
          <w:bCs/>
        </w:rPr>
        <w:t>felszámolója,</w:t>
      </w:r>
      <w:r>
        <w:rPr/>
        <w:t xml:space="preserve"> képviseli </w:t>
      </w:r>
      <w:r>
        <w:rPr>
          <w:b/>
        </w:rPr>
        <w:t>Könnyű Ildikó Alexandra felszámolóbiztos</w:t>
      </w:r>
      <w:r>
        <w:rPr/>
        <w:t xml:space="preserve">, a </w:t>
      </w:r>
      <w:r>
        <w:rPr>
          <w:b/>
        </w:rPr>
        <w:fldChar w:fldCharType="begin"/>
      </w:r>
      <w:r>
        <w:rPr>
          <w:b/>
        </w:rPr>
        <w:instrText> MERGEFIELD Cégbíróság </w:instrText>
      </w:r>
      <w:r>
        <w:rPr>
          <w:b/>
        </w:rPr>
        <w:fldChar w:fldCharType="separate"/>
      </w:r>
      <w:r>
        <w:rPr>
          <w:b/>
        </w:rPr>
        <w:t>Fővárosi Törvényszék</w:t>
      </w:r>
      <w:r>
        <w:rPr>
          <w:b/>
        </w:rPr>
        <w:fldChar w:fldCharType="end"/>
      </w:r>
      <w:r>
        <w:rPr/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> MERGEFIELD Fpk </w:instrText>
      </w:r>
      <w:r>
        <w:rPr>
          <w:b/>
          <w:bCs/>
        </w:rPr>
        <w:fldChar w:fldCharType="separate"/>
      </w:r>
      <w:r>
        <w:rPr>
          <w:b/>
          <w:bCs/>
        </w:rPr>
        <w:t>53.Fpk.1727/2020.</w:t>
      </w:r>
      <w:r>
        <w:rPr>
          <w:b/>
          <w:bCs/>
        </w:rPr>
        <w:fldChar w:fldCharType="end"/>
      </w:r>
      <w:r>
        <w:rPr/>
        <w:t xml:space="preserve"> számú felszámolási eljárásban.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center"/>
        <w:rPr>
          <w:rStyle w:val="Strong"/>
        </w:rPr>
      </w:pPr>
      <w:r>
        <w:rPr>
          <w:rStyle w:val="Strong"/>
        </w:rPr>
        <w:t>1. NYILVÁNOS PÁLYÁZAT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2977" w:leader="none"/>
          <w:tab w:val="left" w:pos="4140" w:leader="none"/>
        </w:tabs>
        <w:spacing w:lineRule="auto" w:line="276"/>
        <w:jc w:val="both"/>
        <w:rPr/>
      </w:pPr>
      <w:r>
        <w:rPr/>
        <w:t>útján értékesítésre első alkalommal meghirdeti az adós társaság alábbi ingatlanát: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Budapest XXIII. kerület, 187944. hrsz. alatt. </w:t>
      </w:r>
    </w:p>
    <w:tbl>
      <w:tblPr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2833"/>
        <w:gridCol w:w="1274"/>
        <w:gridCol w:w="1984"/>
        <w:gridCol w:w="1848"/>
      </w:tblGrid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Helyrajzi szám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Megnevezés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Tulajdoni hányad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391" w:hanging="0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  <w:r>
              <w:rPr>
                <w:rFonts w:eastAsia="Calibri"/>
                <w:b/>
              </w:rPr>
              <w:t>Becsérték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391" w:hanging="0"/>
              <w:jc w:val="center"/>
              <w:rPr/>
            </w:pPr>
            <w:r>
              <w:rPr>
                <w:rFonts w:eastAsia="Calibri"/>
                <w:b/>
              </w:rPr>
              <w:t>Minimálár</w:t>
            </w:r>
          </w:p>
        </w:tc>
      </w:tr>
      <w:tr>
        <w:trPr>
          <w:trHeight w:val="486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187944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kivett beépítetlen terület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8.205.000,- Ft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8.205.000,- Ft</w:t>
            </w:r>
          </w:p>
        </w:tc>
      </w:tr>
    </w:tbl>
    <w:p>
      <w:pPr>
        <w:pStyle w:val="Normal"/>
        <w:tabs>
          <w:tab w:val="clear" w:pos="708"/>
          <w:tab w:val="left" w:pos="2977" w:leader="none"/>
          <w:tab w:val="left" w:pos="4140" w:leader="none"/>
        </w:tabs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i/>
          <w:i/>
          <w:iCs/>
        </w:rPr>
      </w:pPr>
      <w:r>
        <w:rPr>
          <w:b/>
        </w:rPr>
        <w:t xml:space="preserve">Az ingatlan becsértéke: 8.205.000,- Ft + Áfa, </w:t>
      </w:r>
      <w:r>
        <w:rPr>
          <w:b/>
          <w:i/>
          <w:iCs/>
        </w:rPr>
        <w:t>azaz nyolcmillió-kétszázötezer</w:t>
      </w:r>
      <w:r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>forint + általános forgalmi adó.</w:t>
      </w:r>
    </w:p>
    <w:p>
      <w:pPr>
        <w:pStyle w:val="Normal"/>
        <w:spacing w:lineRule="auto" w:line="276"/>
        <w:jc w:val="both"/>
        <w:rPr>
          <w:b/>
          <w:b/>
          <w:i/>
          <w:i/>
          <w:iCs/>
        </w:rPr>
      </w:pPr>
      <w:r>
        <w:rPr>
          <w:b/>
        </w:rPr>
        <w:t xml:space="preserve">Ajánlati biztosíték összege: 410.250,- Ft, </w:t>
      </w:r>
      <w:r>
        <w:rPr>
          <w:b/>
          <w:i/>
          <w:iCs/>
        </w:rPr>
        <w:t>azaz négyszáztízezer-kétszázötven forint.</w:t>
      </w:r>
    </w:p>
    <w:p>
      <w:pPr>
        <w:pStyle w:val="Normal"/>
        <w:spacing w:lineRule="auto" w:line="276"/>
        <w:jc w:val="both"/>
        <w:rPr/>
      </w:pPr>
      <w:r>
        <w:rPr>
          <w:b/>
        </w:rPr>
        <w:t xml:space="preserve">A minimálár: 8.205.000,- Ft + Áfa, </w:t>
      </w:r>
      <w:r>
        <w:rPr>
          <w:b/>
          <w:i/>
          <w:iCs/>
        </w:rPr>
        <w:t>azaz nyolcmillió-kétszázötezer</w:t>
      </w:r>
      <w:r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>forint + általános forgalmi adó, amely a becsérték 100%-a.</w:t>
      </w:r>
    </w:p>
    <w:p>
      <w:pPr>
        <w:pStyle w:val="Szvegtrzsbehzsa"/>
        <w:tabs>
          <w:tab w:val="clear" w:pos="708"/>
          <w:tab w:val="left" w:pos="1276" w:leader="none"/>
          <w:tab w:val="left" w:pos="3402" w:leader="none"/>
        </w:tabs>
        <w:ind w:left="0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zvegtrzsbehzsa"/>
        <w:tabs>
          <w:tab w:val="clear" w:pos="708"/>
          <w:tab w:val="left" w:pos="1276" w:leader="none"/>
          <w:tab w:val="left" w:pos="3402" w:leader="none"/>
        </w:tabs>
        <w:ind w:left="0" w:hanging="0"/>
        <w:jc w:val="both"/>
        <w:rPr/>
      </w:pPr>
      <w:r>
        <w:rPr>
          <w:b/>
          <w:sz w:val="24"/>
        </w:rPr>
        <w:t>Az ingatlan ingatlan-nyilvántartás szerinti állapotának bemutatása:</w:t>
      </w:r>
    </w:p>
    <w:p>
      <w:pPr>
        <w:pStyle w:val="Normal"/>
        <w:tabs>
          <w:tab w:val="clear" w:pos="708"/>
          <w:tab w:val="left" w:pos="4111" w:leader="none"/>
        </w:tabs>
        <w:spacing w:lineRule="exact" w:line="320"/>
        <w:rPr/>
      </w:pPr>
      <w:r>
        <w:rPr>
          <w:b/>
          <w:i/>
          <w:iCs/>
        </w:rPr>
        <w:t>1</w:t>
      </w:r>
      <w:r>
        <w:rPr>
          <w:i/>
          <w:iCs/>
        </w:rPr>
        <w:t>. Megnevezés:</w:t>
      </w:r>
      <w:r>
        <w:rPr/>
        <w:t xml:space="preserve">                     </w:t>
        <w:tab/>
        <w:t>kivett beépítetlen terület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rPr>
          <w:iCs/>
        </w:rPr>
      </w:pPr>
      <w:r>
        <w:rPr/>
        <w:tab/>
      </w:r>
      <w:r>
        <w:rPr>
          <w:i/>
          <w:iCs/>
        </w:rPr>
        <w:t>Helyrajzi szám:</w:t>
        <w:tab/>
      </w:r>
      <w:r>
        <w:rPr/>
        <w:t>Budapest XIII. kerület, belterület 187944.hrsz.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rPr>
          <w:vertAlign w:val="superscript"/>
        </w:rPr>
      </w:pPr>
      <w:r>
        <w:rPr/>
        <w:tab/>
      </w:r>
      <w:r>
        <w:rPr>
          <w:i/>
          <w:iCs/>
        </w:rPr>
        <w:t>Területe:</w:t>
      </w:r>
      <w:r>
        <w:rPr/>
        <w:t xml:space="preserve">   </w:t>
        <w:tab/>
        <w:t>547 m</w:t>
      </w:r>
      <w:r>
        <w:rPr>
          <w:vertAlign w:val="superscript"/>
        </w:rPr>
        <w:t>2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rPr/>
      </w:pPr>
      <w:r>
        <w:rPr/>
        <w:tab/>
      </w:r>
      <w:r>
        <w:rPr>
          <w:i/>
        </w:rPr>
        <w:t>Tulajdoni hányad:</w:t>
      </w:r>
      <w:r>
        <w:rPr/>
        <w:tab/>
      </w:r>
      <w:r>
        <w:rPr>
          <w:rFonts w:eastAsia="Calibri"/>
        </w:rPr>
        <w:t>1/1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rPr/>
      </w:pPr>
      <w:r>
        <w:rPr/>
        <w:tab/>
      </w:r>
      <w:r>
        <w:rPr>
          <w:i/>
          <w:iCs/>
        </w:rPr>
        <w:t>Tulajdonos:</w:t>
      </w:r>
      <w:r>
        <w:rPr/>
        <w:t xml:space="preserve">         </w:t>
        <w:tab/>
      </w:r>
      <w:r>
        <w:rPr>
          <w:b/>
          <w:bCs/>
        </w:rPr>
        <w:t>KISTEXT Pamutipari Zrt. „f. a.”.</w:t>
      </w:r>
      <w:r>
        <w:rPr/>
        <w:t xml:space="preserve"> </w:t>
        <w:tab/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rPr>
          <w:i/>
          <w:i/>
          <w:iCs/>
        </w:rPr>
      </w:pPr>
      <w:r>
        <w:rPr/>
        <w:tab/>
        <w:tab/>
        <w:t>1184 Budapest, XVIII. ker. Fáy u. 2.</w:t>
      </w:r>
      <w:r>
        <w:rPr>
          <w:i/>
          <w:iCs/>
        </w:rPr>
        <w:t xml:space="preserve"> </w:t>
      </w:r>
      <w:bookmarkStart w:id="0" w:name="_Hlk504852440"/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ind w:left="4110" w:hanging="4110"/>
        <w:rPr/>
      </w:pPr>
      <w:r>
        <w:rPr>
          <w:i/>
        </w:rPr>
        <w:tab/>
        <w:t>Bejegyző határozat:</w:t>
      </w:r>
      <w:r>
        <w:rPr/>
        <w:tab/>
        <w:tab/>
      </w:r>
      <w:r>
        <w:rPr>
          <w:b/>
        </w:rPr>
        <w:t>Jelzálogjog</w:t>
      </w:r>
      <w:r>
        <w:rPr/>
        <w:t xml:space="preserve"> </w:t>
      </w:r>
      <w:r>
        <w:rPr>
          <w:b/>
          <w:bCs/>
        </w:rPr>
        <w:t>714.147,- Ft</w:t>
      </w:r>
      <w:r>
        <w:rPr>
          <w:i/>
          <w:iCs/>
        </w:rPr>
        <w:t>, azaz hétszáztizennégyezer-száznegyvenhét forint</w:t>
      </w:r>
      <w:r>
        <w:rPr/>
        <w:t xml:space="preserve"> és járulékai erejéig.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ind w:left="4110" w:hanging="4110"/>
        <w:rPr/>
      </w:pPr>
      <w:r>
        <w:rPr/>
        <w:tab/>
      </w:r>
      <w:r>
        <w:rPr>
          <w:i/>
        </w:rPr>
        <w:t>Jogosult:</w:t>
        <w:tab/>
      </w:r>
      <w:bookmarkEnd w:id="0"/>
      <w:r>
        <w:rPr>
          <w:b/>
          <w:bCs/>
        </w:rPr>
        <w:t xml:space="preserve">Budapest Főváros XXIII.kerület Soroksár Önkormányzata 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ind w:left="4110" w:hanging="4110"/>
        <w:rPr/>
      </w:pPr>
      <w:r>
        <w:rPr>
          <w:i/>
        </w:rPr>
        <w:tab/>
        <w:t>Címe:</w:t>
      </w:r>
      <w:r>
        <w:rPr/>
        <w:tab/>
        <w:t>1239 Budapest, XXIII. ker., Grassalkovich út 162.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ind w:left="4110" w:hanging="4110"/>
        <w:rPr/>
      </w:pPr>
      <w:r>
        <w:rPr>
          <w:i/>
        </w:rPr>
        <w:tab/>
        <w:t>Bejegyző határozat:</w:t>
      </w:r>
      <w:r>
        <w:rPr/>
        <w:tab/>
        <w:tab/>
      </w:r>
      <w:r>
        <w:rPr>
          <w:b/>
        </w:rPr>
        <w:t>Végrehajtási jog</w:t>
      </w:r>
      <w:r>
        <w:rPr/>
        <w:t xml:space="preserve"> </w:t>
      </w:r>
      <w:r>
        <w:rPr>
          <w:b/>
          <w:bCs/>
        </w:rPr>
        <w:t>2.599.000,- Ft</w:t>
      </w:r>
      <w:r>
        <w:rPr>
          <w:i/>
          <w:iCs/>
        </w:rPr>
        <w:t>, azaz kétmillió-ötszázkilencvenkilencezer forint</w:t>
      </w:r>
      <w:r>
        <w:rPr/>
        <w:t xml:space="preserve"> és járulékai erejéig.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ind w:left="4110" w:hanging="4110"/>
        <w:rPr/>
      </w:pPr>
      <w:r>
        <w:rPr/>
        <w:tab/>
      </w:r>
      <w:r>
        <w:rPr>
          <w:i/>
        </w:rPr>
        <w:t>Jogosult:</w:t>
        <w:tab/>
      </w:r>
      <w:r>
        <w:rPr>
          <w:b/>
          <w:bCs/>
        </w:rPr>
        <w:t xml:space="preserve">Nemzeti Adó és Vámhivatal Dél-budapesti Adó-és Vámigazgatósága 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ind w:left="4110" w:hanging="4110"/>
        <w:rPr/>
      </w:pPr>
      <w:r>
        <w:rPr>
          <w:i/>
        </w:rPr>
        <w:tab/>
        <w:t>Címe:</w:t>
      </w:r>
      <w:r>
        <w:rPr/>
        <w:tab/>
        <w:t>1054 Budapest, V. ker. Széchenyi utca 2. (1476 Budapest, Pf. 93.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ind w:left="4110" w:hanging="4110"/>
        <w:rPr/>
      </w:pPr>
      <w:r>
        <w:rPr>
          <w:i/>
        </w:rPr>
        <w:tab/>
        <w:t>Iktatószám:</w:t>
      </w:r>
      <w:r>
        <w:rPr/>
        <w:tab/>
        <w:t>5712315475</w:t>
      </w:r>
    </w:p>
    <w:p>
      <w:pPr>
        <w:pStyle w:val="Normal"/>
        <w:tabs>
          <w:tab w:val="clear" w:pos="708"/>
          <w:tab w:val="left" w:pos="567" w:leader="none"/>
          <w:tab w:val="left" w:pos="4111" w:leader="none"/>
        </w:tabs>
        <w:spacing w:lineRule="exact" w:line="320"/>
        <w:ind w:left="4110" w:hanging="4110"/>
        <w:jc w:val="center"/>
        <w:rPr/>
      </w:pPr>
      <w:r>
        <w:rPr>
          <w:b/>
        </w:rPr>
        <w:t>II.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bCs/>
          <w:i/>
          <w:iCs/>
        </w:rPr>
        <w:t>Ajánlati biztosíték formája, megfizetésének módja és határideje</w:t>
      </w:r>
      <w:r>
        <w:rPr/>
        <w:t xml:space="preserve">: az ajánlati biztosítéknak a felszámoló szervezet </w:t>
      </w:r>
      <w:r>
        <w:rPr>
          <w:b/>
        </w:rPr>
        <w:t>OTP Banknál</w:t>
      </w:r>
      <w:r>
        <w:rPr/>
        <w:t xml:space="preserve"> vezetett elkülönített </w:t>
      </w:r>
      <w:r>
        <w:rPr>
          <w:b/>
        </w:rPr>
        <w:t>11744034-20065465</w:t>
      </w:r>
      <w:r>
        <w:rPr/>
        <w:t xml:space="preserve"> számú bankszámláján </w:t>
      </w:r>
      <w:r>
        <w:rPr>
          <w:b/>
        </w:rPr>
        <w:t>„</w:t>
      </w:r>
      <w:r>
        <w:rPr>
          <w:b/>
          <w:bCs/>
        </w:rPr>
        <w:fldChar w:fldCharType="begin"/>
      </w:r>
      <w:r>
        <w:rPr>
          <w:b/>
          <w:bCs/>
        </w:rPr>
        <w:instrText> MERGEFIELD Cégnév </w:instrText>
      </w:r>
      <w:r>
        <w:rPr>
          <w:b/>
          <w:bCs/>
        </w:rPr>
        <w:fldChar w:fldCharType="separate"/>
      </w:r>
      <w:r>
        <w:rPr>
          <w:b/>
          <w:bCs/>
        </w:rPr>
        <w:t>KISTEXT Pamutipari Zrt. "f. a."</w:t>
      </w:r>
      <w:r>
        <w:rPr>
          <w:b/>
          <w:bCs/>
        </w:rPr>
        <w:fldChar w:fldCharType="end"/>
      </w:r>
      <w:r>
        <w:rPr>
          <w:b/>
        </w:rPr>
        <w:t xml:space="preserve"> ajánlati biztosíték” </w:t>
      </w:r>
      <w:r>
        <w:rPr/>
        <w:t xml:space="preserve">megjelöléssel jóváírásra kell kerülnie. </w:t>
      </w:r>
    </w:p>
    <w:p>
      <w:pPr>
        <w:pStyle w:val="Normal"/>
        <w:spacing w:lineRule="auto" w:line="276"/>
        <w:jc w:val="both"/>
        <w:rPr/>
      </w:pPr>
      <w:r>
        <w:rPr/>
        <w:t>Az ajánlati biztosíték fizetési kötelezettség csak abban az esetben tekintendő teljesítettnek, ha a pályázat záró napján 16 óra 00 percig az előbbiekben megadott bankszámlán hiánytalanul jóváírásra kerül az ajánlati biztosíték teljes összege.</w:t>
      </w:r>
    </w:p>
    <w:p>
      <w:pPr>
        <w:pStyle w:val="Normal"/>
        <w:spacing w:lineRule="auto" w:line="276" w:beforeAutospacing="1" w:afterAutospacing="1"/>
        <w:jc w:val="both"/>
        <w:rPr/>
      </w:pPr>
      <w:r>
        <w:rPr>
          <w:b/>
          <w:bCs/>
          <w:i/>
          <w:iCs/>
        </w:rPr>
        <w:t>Az ajánlati biztosítékkal kapcsolatos egyéb közlemény: az ajánlati biztosíték megfizetése feltétele a pályázaton való részvételnek.</w:t>
      </w:r>
      <w:r>
        <w:rPr/>
        <w:t xml:space="preserve"> Ha a pályázati eljárás eredményes, az ajánlati biztosíték a nyertes pályázónál a vételárba beszámításra kerül, a többi pályázó esetében pedig az ajánlati biztosíték teljes összege az eredményhirdetés napjától - a Cstv. 49/A.§(4) bekezdése szerinti ártárgyalás esetén, az ártárgyalás eredményhirdetésének napjától - számított 8 munkanapon belül visszautalásra kerül. Ha pályázati eljárás eredménytelen, az ajánlati biztosíték teljes összege a pályázóknak az eredményhirdetéstől számított 8 munkanapon belül visszautalásra kerül. Ha a szerződés a nyertes pályázó érdekkörében felmerülő okból nem jön létre, ide értve azt az esetet is, ha a pályázó a jelen pályázati kiírásban foglalt bármely feltételt nem tartja be, vagy a nyertes pályázó a vételárat az előírt határidőben nem fizeti meg, az ajánlati biztosítékot a pályázó elveszíti, a felszámoló ezt az összeget az értékesítési bevétel részeként számolja el.</w:t>
      </w:r>
    </w:p>
    <w:p>
      <w:pPr>
        <w:pStyle w:val="Normal"/>
        <w:spacing w:lineRule="auto" w:line="276" w:beforeAutospacing="1" w:afterAutospacing="1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A felszámoló az ajánlati biztosíték után kamatot nem fizet.</w:t>
      </w:r>
    </w:p>
    <w:p>
      <w:pPr>
        <w:pStyle w:val="Normal"/>
        <w:spacing w:lineRule="auto" w:line="276" w:beforeAutospacing="1" w:afterAutospacing="1"/>
        <w:jc w:val="both"/>
        <w:rPr>
          <w:b/>
          <w:b/>
          <w:bCs/>
          <w:i/>
          <w:i/>
          <w:iCs/>
        </w:rPr>
      </w:pPr>
      <w:r>
        <w:rPr>
          <w:bCs/>
          <w:iCs/>
        </w:rPr>
        <w:t xml:space="preserve">Az ingatlan tulajdoni lapján a művelési ág kivett iroda, azonban </w:t>
      </w:r>
      <w:r>
        <w:rPr>
          <w:b/>
          <w:bCs/>
          <w:iCs/>
        </w:rPr>
        <w:t>kivett beépítetlen terület.</w:t>
      </w:r>
      <w:r>
        <w:rPr>
          <w:bCs/>
          <w:iCs/>
        </w:rPr>
        <w:t xml:space="preserve"> Az ingatlanon irodaház nem található, lebontásra került. </w:t>
      </w:r>
      <w:r>
        <w:rPr>
          <w:b/>
          <w:bCs/>
          <w:i/>
          <w:iCs/>
        </w:rPr>
        <w:t>A felszámoló a kellékszavatosságot és a garanciát teljes-körűen kizárja.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A vételár megfizetése átutalással történhet, az adásvételi szerződés aláírását követő 30 napon belül, a felszámoló szervezet előzőekben megjelölt elkülönített bankszámlájára. Részletfizetési lehetőség nincs.</w:t>
      </w:r>
    </w:p>
    <w:p>
      <w:pPr>
        <w:pStyle w:val="NormalWeb"/>
        <w:spacing w:lineRule="auto" w:line="276" w:before="280" w:after="28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 pályázatnak tartalmaznia kell: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 pályázó szerződéskötéshez szükséges minden adatát. </w:t>
      </w:r>
      <w:r>
        <w:rPr>
          <w:b/>
          <w:i/>
          <w:sz w:val="24"/>
          <w:szCs w:val="24"/>
        </w:rPr>
        <w:t>Jogi személy esetén:</w:t>
      </w:r>
      <w:r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>
        <w:rPr>
          <w:b/>
          <w:i/>
          <w:sz w:val="24"/>
          <w:szCs w:val="24"/>
        </w:rPr>
        <w:t>Magánszemély esetén:</w:t>
      </w:r>
      <w:r>
        <w:rPr>
          <w:sz w:val="24"/>
          <w:szCs w:val="24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Külföldi pályázó esetén a fenti dokumentumok hitelesített magyar nyelvű fordítását és magyar kézbesítési megbízott megjelölését kérjük.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Amennyiben pályázó meghatalmazott útján nyújtja be ajánlatát, a meghatalmazott igénybevételére vonatkozóan a Pp. (2016. évi CXXX. tv.) 64-70. §-ában foglalt jogszabályok az irányadók.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Külföldi szervezet esetén nyilatkozatot arra vonatkozóan, hogy a szerződéskötésig az ingatlan nyilvántartásba történő bejegyzéshez szükséges iratokat, így különösen az Inytv. (1997. évi CXLI. tv.) 36. és 37. §-ában foglaltak szerinti dokumentumokat átadja.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A megvásárolni kívánt vagyontárgy megnevezését.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 megpályázott vagyontárgyért felajánlott vételár összegét, a vételár megfizetésének módját, határidejét, amely nem lehet több mint az adásvételi szerződés megkötését követő </w:t>
      </w:r>
      <w:r>
        <w:rPr>
          <w:b/>
          <w:sz w:val="24"/>
          <w:szCs w:val="24"/>
        </w:rPr>
        <w:t>30 naptári nap.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Az ajánlati biztosíték befizetéséről szóló igazolást, továbbá nyilatkozni kell arról is, hogy a befizetett ajánlati biztosítékot – az ajánlatának el nem fogadása esetén – milyen számlára kéri visszautalni a pályázó.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 pályázat benyújtásának határ idejétől számított </w:t>
      </w:r>
      <w:r>
        <w:rPr>
          <w:b/>
          <w:bCs/>
          <w:sz w:val="24"/>
          <w:szCs w:val="24"/>
        </w:rPr>
        <w:t>60 napos ajánlati kötöttség vállalását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ind w:left="360" w:hanging="360"/>
        <w:jc w:val="both"/>
        <w:rPr/>
      </w:pPr>
      <w:r>
        <w:rPr/>
        <w:t xml:space="preserve">Nyilatkozatot arról, hogy a tenderfüzetben meghatározott tartalommal adás-vételi szerződést köt az értékelési jegyzőkönyv </w:t>
      </w:r>
      <w:r>
        <w:rPr>
          <w:b/>
        </w:rPr>
        <w:t>EÉR-be</w:t>
      </w:r>
      <w:r>
        <w:rPr/>
        <w:t xml:space="preserve"> történő feltöltését követő 30 napon belül.</w:t>
      </w:r>
    </w:p>
    <w:p>
      <w:pPr>
        <w:pStyle w:val="ListParagraph"/>
        <w:numPr>
          <w:ilvl w:val="0"/>
          <w:numId w:val="1"/>
        </w:numPr>
        <w:suppressAutoHyphens w:val="true"/>
        <w:ind w:left="360" w:hanging="360"/>
        <w:jc w:val="both"/>
        <w:rPr/>
      </w:pPr>
      <w:r>
        <w:rPr/>
        <w:t>Nyilatkozatot a kellékszavatosság, a garanciális igény érvényesíthetősége kizárásának tudomásul vételéről.</w:t>
      </w:r>
    </w:p>
    <w:p>
      <w:pPr>
        <w:pStyle w:val="ListParagraph"/>
        <w:numPr>
          <w:ilvl w:val="0"/>
          <w:numId w:val="1"/>
        </w:numPr>
        <w:suppressAutoHyphens w:val="true"/>
        <w:ind w:left="360" w:hanging="360"/>
        <w:jc w:val="both"/>
        <w:rPr/>
      </w:pPr>
      <w:r>
        <w:rPr/>
        <w:t>Nyilatkozatot arról, hogy vele szemben nem állnak fenn a Cstv. 49. § (3) és (3b) bekezdésben meghatározott kizáró feltételek.</w:t>
      </w:r>
    </w:p>
    <w:p>
      <w:pPr>
        <w:pStyle w:val="ListParagraph"/>
        <w:numPr>
          <w:ilvl w:val="0"/>
          <w:numId w:val="1"/>
        </w:numPr>
        <w:suppressAutoHyphens w:val="true"/>
        <w:ind w:left="360" w:hanging="360"/>
        <w:jc w:val="both"/>
        <w:rPr/>
      </w:pPr>
      <w:r>
        <w:rPr/>
        <w:t>A megajánlott vételár fedezetének hitelt érdemlő igazolását.</w:t>
      </w:r>
    </w:p>
    <w:p>
      <w:pPr>
        <w:pStyle w:val="ListParagraph"/>
        <w:numPr>
          <w:ilvl w:val="0"/>
          <w:numId w:val="1"/>
        </w:numPr>
        <w:suppressAutoHyphens w:val="true"/>
        <w:ind w:left="360" w:hanging="360"/>
        <w:jc w:val="both"/>
        <w:rPr/>
      </w:pPr>
      <w:r>
        <w:rPr/>
        <w:t xml:space="preserve">Nyilatkozatot, hogy elfogadja-e az e-mailen keresztül történő </w:t>
      </w:r>
      <w:r>
        <w:rPr>
          <w:b/>
        </w:rPr>
        <w:t>értesítést, amennyiben igen, azt milyen e-mailre kéri, amelyet adjon meg.</w:t>
      </w:r>
    </w:p>
    <w:p>
      <w:pPr>
        <w:pStyle w:val="ListParagraph"/>
        <w:numPr>
          <w:ilvl w:val="0"/>
          <w:numId w:val="1"/>
        </w:numPr>
        <w:suppressAutoHyphens w:val="true"/>
        <w:ind w:left="360" w:hanging="360"/>
        <w:jc w:val="both"/>
        <w:rPr/>
      </w:pPr>
      <w:r>
        <w:rPr/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eljárásának költsége a bruttó vételár 1,5%-a +Áfa, de minimum 100.000 Ft + Áfa.</w:t>
      </w:r>
    </w:p>
    <w:p>
      <w:pPr>
        <w:pStyle w:val="Normal"/>
        <w:spacing w:lineRule="auto" w:line="276" w:beforeAutospacing="1" w:afterAutospacing="1"/>
        <w:jc w:val="both"/>
        <w:rPr/>
      </w:pPr>
      <w:r>
        <w:rPr/>
        <w:t>A felszámolási eljárás és a végelszámolás környezet- és természetvédelmi követelményeiről szóló 106/1995. (IX. 8.) Korm. rendelet 8. § (7) bekezdés alapján: környezeti teherről a felszámolónak nincs tudomása. Az ingatlan terheit a tulajdoni lap III. része tartalmazza.</w:t>
      </w:r>
    </w:p>
    <w:p>
      <w:pPr>
        <w:pStyle w:val="Normal"/>
        <w:spacing w:lineRule="auto" w:line="276"/>
        <w:jc w:val="both"/>
        <w:rPr/>
      </w:pPr>
      <w:r>
        <w:rPr/>
        <w:t xml:space="preserve">A felszámoló az értékesítéssel kapcsolatban írásos ajánlatokat kér benyújtani, amely az </w:t>
      </w:r>
      <w:r>
        <w:rPr>
          <w:b/>
        </w:rPr>
        <w:fldChar w:fldCharType="begin"/>
      </w:r>
      <w:r>
        <w:rPr>
          <w:b/>
        </w:rPr>
        <w:instrText> MERGEFIELD anev </w:instrText>
      </w:r>
      <w:r>
        <w:rPr>
          <w:b/>
        </w:rPr>
        <w:fldChar w:fldCharType="separate"/>
      </w:r>
      <w:r>
        <w:rPr>
          <w:b/>
        </w:rPr>
        <w:t>KRÍZIS KONTROLL KFT</w:t>
      </w:r>
      <w:r>
        <w:rPr>
          <w:b/>
        </w:rPr>
        <w:fldChar w:fldCharType="end"/>
      </w:r>
      <w:r>
        <w:rPr>
          <w:b/>
        </w:rPr>
        <w:t>.</w:t>
      </w:r>
      <w:r>
        <w:rPr/>
        <w:t xml:space="preserve"> által feltöltött hirdetmény alapján az Elektronikus Értékesítési Rendszer </w:t>
      </w:r>
      <w:r>
        <w:rPr>
          <w:b/>
          <w:bCs/>
        </w:rPr>
        <w:t>(EÉR)</w:t>
      </w:r>
      <w:r>
        <w:rPr/>
        <w:t xml:space="preserve"> igénybevételével, elektronikusan nyújtható be.</w:t>
      </w:r>
    </w:p>
    <w:p>
      <w:pPr>
        <w:pStyle w:val="NormalWeb"/>
        <w:spacing w:lineRule="auto" w:line="276" w:before="280" w:after="28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 pályázat benyújtásának kezdő időpontja a Cégközlönyben történő közzétételtől számított 16. nap 8:00 óra.</w:t>
      </w:r>
    </w:p>
    <w:p>
      <w:pPr>
        <w:pStyle w:val="NormalWeb"/>
        <w:spacing w:lineRule="auto" w:line="276" w:before="280" w:after="28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 pályázat benyújtásának záró időpontja a pályázat benyújtásának kezdő időpontját követő 15. nap 16:00 óra.</w:t>
      </w:r>
    </w:p>
    <w:p>
      <w:pPr>
        <w:pStyle w:val="NormalWeb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 pályázatok kiértékelésére a </w:t>
      </w:r>
      <w:r>
        <w:rPr>
          <w:b/>
          <w:bCs/>
          <w:sz w:val="24"/>
          <w:szCs w:val="24"/>
        </w:rPr>
        <w:t>pályázat benyújtásának záró időpontját</w:t>
      </w:r>
      <w:r>
        <w:rPr>
          <w:b/>
          <w:sz w:val="24"/>
          <w:szCs w:val="24"/>
        </w:rPr>
        <w:t xml:space="preserve"> követő 20 napon belül kerül sor.</w:t>
      </w:r>
      <w:bookmarkStart w:id="1" w:name="_GoBack"/>
      <w:bookmarkEnd w:id="1"/>
    </w:p>
    <w:p>
      <w:pPr>
        <w:pStyle w:val="NormalWeb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 xml:space="preserve">Az Áfa-ra vonatkozóan a hatályos jogszabályok az irányadók, a pályázati irányárak az Áfa-t nem tartalmazzák. </w:t>
      </w:r>
      <w:r>
        <w:rPr>
          <w:b/>
          <w:bCs/>
          <w:i/>
          <w:iCs/>
          <w:sz w:val="24"/>
          <w:szCs w:val="24"/>
        </w:rPr>
        <w:t>A pályázat során a pályázók nettó értéken pályáznak.</w:t>
      </w:r>
    </w:p>
    <w:p>
      <w:pPr>
        <w:pStyle w:val="NormalWeb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 xml:space="preserve">A tulajdonjogot szerző fél a nyilvános értékesítésen az adóssal, mint Eladóval szemben beszámítással nem élhet. </w:t>
      </w:r>
    </w:p>
    <w:p>
      <w:pPr>
        <w:pStyle w:val="NormalWeb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súlyozottan veszi figyelembe a felszámolóbiztos.</w:t>
      </w:r>
    </w:p>
    <w:p>
      <w:pPr>
        <w:pStyle w:val="NormalWeb"/>
        <w:spacing w:lineRule="auto" w:line="276" w:before="280" w:after="280"/>
        <w:rPr>
          <w:sz w:val="24"/>
          <w:szCs w:val="24"/>
        </w:rPr>
      </w:pPr>
      <w:r>
        <w:rPr>
          <w:sz w:val="24"/>
          <w:szCs w:val="24"/>
        </w:rPr>
        <w:t xml:space="preserve">Az adásvételi szerződés megkötésére a pályázat eredményének közlésétől számított 30 napon belül kerül sor, melynek időpontjáról a felszámoló írásban értesíti a nyertes pályázót. A szerződéskötés feltétele az </w:t>
      </w:r>
      <w:r>
        <w:rPr>
          <w:b/>
          <w:bCs/>
          <w:i/>
          <w:sz w:val="24"/>
          <w:szCs w:val="24"/>
        </w:rPr>
        <w:t xml:space="preserve">EÉR </w:t>
      </w:r>
      <w:r>
        <w:rPr>
          <w:i/>
          <w:sz w:val="24"/>
          <w:szCs w:val="24"/>
        </w:rPr>
        <w:t>rendszer üzemeltető számára történt és a felszámoló által véglegesnek elfogadott vételár 1% -nak megfelelő mértékű jutalék fizetési kötelezettség teljesítése, amely nem része a vételárnak</w:t>
      </w:r>
      <w:r>
        <w:rPr>
          <w:sz w:val="24"/>
          <w:szCs w:val="24"/>
        </w:rPr>
        <w:t>. A megkötendő adásvételi szerződésre a magyar jog az irányadó.</w:t>
      </w:r>
    </w:p>
    <w:p>
      <w:pPr>
        <w:pStyle w:val="NormalWeb"/>
        <w:spacing w:lineRule="auto" w:line="276" w:before="280" w:after="280"/>
        <w:rPr>
          <w:sz w:val="24"/>
          <w:szCs w:val="24"/>
        </w:rPr>
      </w:pPr>
      <w:r>
        <w:rPr>
          <w:sz w:val="24"/>
          <w:szCs w:val="24"/>
        </w:rPr>
        <w:t>Az adásvételi szerződés megkötésével kapcsolatosan felmerülő minden költség, díj és illeték a nyertes pályázót terheli.</w:t>
      </w:r>
    </w:p>
    <w:p>
      <w:pPr>
        <w:pStyle w:val="NormalWeb"/>
        <w:spacing w:lineRule="auto" w:line="276" w:before="280" w:after="2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felszámoló részére a pályázati kiírás nem jelent értékesítési kötelezettséget, fenntartja magának a jogot, hogy megfelelő ajánlat hiányában a pályázatot eredménytelennek nyilvánítsa, vagy ha a körülmények indokolják, a pályázatot visszavonja, és új pályázat kiírásáról, vagy árverés alkalmazásáról döntsön.</w:t>
      </w:r>
    </w:p>
    <w:p>
      <w:pPr>
        <w:pStyle w:val="NormalWeb"/>
        <w:spacing w:lineRule="auto" w:line="276" w:before="280" w:after="2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Az elővásárlási jog gyakorlása érdekében a felszámoló felhívja a jogosultak figyelmét arra, hogy elővásárlási joguk fennállását és elérhetőségeiket a pályázat benyújtási határidejéig jelentsék be a felszámolónál annak érdekében, hogy a nyertes ajánlat az elővásárlási jogosultakkal közölhető legyen. A bejelentés elmaradása esetén a felszámoló úgy tekinti, hogy az elővásárlási jogosultak elővásárlási jogukkal élni nem kívánnak, az ajánlatok közlését nem kérik. </w:t>
      </w:r>
    </w:p>
    <w:p>
      <w:pPr>
        <w:pStyle w:val="NormalWeb"/>
        <w:spacing w:lineRule="auto" w:line="276" w:before="280" w:after="2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felszámoló felhívja a Cstv. 49/C § -ban meghatározott elővásárlási jogosultak figyelmét arra, hogy elővásárlási jogukat a jelen pályázati eljárás keretében gyakorolhatják a 17/2014. (II.3.) Korm. rendelet 27. § (4) bekezdés szerint. A felszámoló felhívja az elővásárlási jogosultak figyelmét, hogy a Cstv. 49/C. § (3) bekezdése értelmében elővásárlási jognyilatkozatukat a nyilvános értékesítés során a pályázati határidő lejártáig tehetik meg. A felszámoló a jogosultságok ellenőrzését követően, a végleges vételár ismeretében nyilatkozat tételre szólítja fel a jogosultakat. A jogosultak az elővásárlási szándékukat a felhívás kézhezvételét követő 10 napon belül írásban tehetik meg.</w:t>
      </w:r>
    </w:p>
    <w:p>
      <w:pPr>
        <w:pStyle w:val="Normal"/>
        <w:spacing w:lineRule="auto" w:line="259" w:before="0" w:after="160"/>
        <w:jc w:val="both"/>
        <w:rPr/>
      </w:pPr>
      <w:r>
        <w:rPr>
          <w:b/>
        </w:rPr>
        <w:t>17/2014 (II.3.) Kormányrendeletet 12.§ (5) bekezdés szerinti részletes feltételek: j</w:t>
      </w:r>
      <w:r>
        <w:rPr/>
        <w:t>elen közlemény a meghirdetett vagyonelemek első hirdetése (</w:t>
      </w:r>
      <w:r>
        <w:rPr>
          <w:b/>
          <w:bCs/>
          <w:i/>
          <w:iCs/>
        </w:rPr>
        <w:t>a minimálár a becsérték 100%-a</w:t>
      </w:r>
      <w:r>
        <w:rPr/>
        <w:t xml:space="preserve">). </w:t>
      </w:r>
    </w:p>
    <w:p>
      <w:pPr>
        <w:pStyle w:val="Normal"/>
        <w:spacing w:lineRule="auto" w:line="259" w:before="0" w:after="160"/>
        <w:jc w:val="both"/>
        <w:rPr>
          <w:rFonts w:eastAsia="Calibri" w:eastAsiaTheme="minorHAnsi"/>
          <w:lang w:eastAsia="en-US"/>
        </w:rPr>
      </w:pPr>
      <w:r>
        <w:rPr/>
        <w:t xml:space="preserve">A felszámoló 237/ 2009. (X.20.) Korm. r. 2. § (2) bekezdés szerinti értékesítési tájékoztatásnak eleget tett, az értékesítéssel kapcsolatban a hirdetmény alapján az Elektronikus Értékesítési Rendszeren keresztül </w:t>
      </w:r>
      <w:r>
        <w:rPr>
          <w:b/>
        </w:rPr>
        <w:t>(EÉR),</w:t>
      </w:r>
      <w:r>
        <w:rPr/>
        <w:t xml:space="preserve"> elektronikus úton kéri a pályázatok benyújtását.</w:t>
        <w:br/>
      </w:r>
      <w:r>
        <w:rPr>
          <w:rFonts w:eastAsia="Calibri" w:eastAsiaTheme="minorHAnsi"/>
          <w:lang w:eastAsia="en-US"/>
        </w:rPr>
        <w:t xml:space="preserve">A legmagasabb vételár az elsődleges értékesítési szempont. 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 w:eastAsiaTheme="minorHAnsi"/>
          <w:lang w:eastAsia="en-US"/>
        </w:rPr>
        <w:t xml:space="preserve">A Cstv. 49/A. § (4) bekezdése értelmében több megfelelő, közel azonos értékű (a vételár vonatkozásában legfeljebb 10%-kal eltérő) ajánlat esetén ártárgyalásra kerül sor az </w:t>
      </w:r>
      <w:r>
        <w:rPr>
          <w:rFonts w:eastAsia="Calibri" w:eastAsiaTheme="minorHAnsi"/>
          <w:b/>
          <w:lang w:eastAsia="en-US"/>
        </w:rPr>
        <w:t>EÉR</w:t>
      </w:r>
      <w:r>
        <w:rPr>
          <w:rFonts w:eastAsia="Calibri" w:eastAsiaTheme="minorHAnsi"/>
          <w:lang w:eastAsia="en-US"/>
        </w:rPr>
        <w:t xml:space="preserve"> rendszerének igénybevételével. </w:t>
      </w:r>
      <w:r>
        <w:rPr>
          <w:rFonts w:eastAsia="Calibri"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  <w:r>
        <w:rPr>
          <w:rFonts w:eastAsia="Calibri" w:eastAsiaTheme="minorHAnsi"/>
          <w:lang w:eastAsia="en-US"/>
        </w:rPr>
        <w:t xml:space="preserve"> </w:t>
      </w:r>
    </w:p>
    <w:p>
      <w:pPr>
        <w:pStyle w:val="Normal"/>
        <w:spacing w:lineRule="auto" w:line="259" w:before="0" w:after="160"/>
        <w:jc w:val="both"/>
        <w:rPr>
          <w:rFonts w:eastAsia="Calibri" w:eastAsiaTheme="minorHAnsi"/>
          <w:b/>
          <w:b/>
          <w:bCs/>
          <w:i/>
          <w:i/>
          <w:iCs/>
          <w:lang w:eastAsia="en-US"/>
        </w:rPr>
      </w:pPr>
      <w:r>
        <w:rPr>
          <w:rFonts w:eastAsia="Calibri" w:eastAsiaTheme="minorHAnsi"/>
          <w:b/>
          <w:bCs/>
          <w:i/>
          <w:iCs/>
          <w:lang w:eastAsia="en-US"/>
        </w:rPr>
        <w:t>A hirdetményben közzétett minimálár alatti vételi ajánlat a felszámoló részéről nem elfogadható.</w:t>
      </w:r>
    </w:p>
    <w:p>
      <w:pPr>
        <w:pStyle w:val="Normal"/>
        <w:spacing w:lineRule="auto" w:line="276"/>
        <w:jc w:val="both"/>
        <w:rPr/>
      </w:pPr>
      <w:r>
        <w:rPr/>
        <w:t>A nyertes pályázó a megvásárolt vagyonelem birtokbavételéről a vételár kiegyenlítésének napjától számított maximum 15 napon belül saját költségén gondoskodni köteles. Késedelmes birtokbavétel esetén a felszámoló nettó 10 000 Ft / nap őrzési, állagmegóvási díjat számol fel. A pályázattal kapcsolatosan a pályázónál felmerülő költségek – a pályázat sikerétől függetlenül - a pályázót terhelik, ideértve a mindenkor hatályos jogszabályok szerint fizetendő adókat és illetékeket, valamint a szerződés elkészítésének, ellenjegyzésének díját.</w:t>
      </w:r>
    </w:p>
    <w:p>
      <w:pPr>
        <w:pStyle w:val="NormalWeb"/>
        <w:spacing w:lineRule="auto" w:line="276" w:before="280" w:after="280"/>
        <w:rPr/>
      </w:pPr>
      <w:r>
        <w:rPr>
          <w:b/>
          <w:i/>
          <w:color w:val="auto"/>
          <w:sz w:val="24"/>
          <w:szCs w:val="24"/>
        </w:rPr>
        <w:t xml:space="preserve">Érdeklődni, a pályázattal kapcsolatban az EÉR felületén lehet.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39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angslyozs">
    <w:name w:val="Hangsúlyozás"/>
    <w:qFormat/>
    <w:rsid w:val="002e3987"/>
    <w:rPr>
      <w:i/>
      <w:iCs/>
    </w:rPr>
  </w:style>
  <w:style w:type="character" w:styleId="Strong">
    <w:name w:val="Strong"/>
    <w:qFormat/>
    <w:rsid w:val="002e3987"/>
    <w:rPr>
      <w:b/>
      <w:bCs/>
    </w:rPr>
  </w:style>
  <w:style w:type="character" w:styleId="SzvegtrzsbehzssalChar" w:customStyle="1">
    <w:name w:val="Szövegtörzs behúzással Char"/>
    <w:basedOn w:val="DefaultParagraphFont"/>
    <w:link w:val="Szvegtrzsbehzssal"/>
    <w:qFormat/>
    <w:rsid w:val="00465cf8"/>
    <w:rPr>
      <w:rFonts w:ascii="Times New Roman" w:hAnsi="Times New Roman" w:eastAsia="Times New Roman" w:cs="Times New Roman"/>
      <w:sz w:val="26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ce5668"/>
    <w:rPr>
      <w:rFonts w:ascii="Segoe UI" w:hAnsi="Segoe UI" w:eastAsia="Times New Roman" w:cs="Segoe UI"/>
      <w:sz w:val="18"/>
      <w:szCs w:val="18"/>
      <w:lang w:eastAsia="hu-H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vegtrzsbehzsa">
    <w:name w:val="Body Text Indent"/>
    <w:basedOn w:val="Normal"/>
    <w:link w:val="SzvegtrzsbehzssalChar"/>
    <w:rsid w:val="00465cf8"/>
    <w:pPr>
      <w:widowControl w:val="false"/>
      <w:spacing w:lineRule="atLeast" w:line="364"/>
      <w:ind w:left="2910" w:hanging="0"/>
    </w:pPr>
    <w:rPr>
      <w:sz w:val="26"/>
    </w:rPr>
  </w:style>
  <w:style w:type="paragraph" w:styleId="NormalWeb">
    <w:name w:val="Normal (Web)"/>
    <w:basedOn w:val="Normal"/>
    <w:qFormat/>
    <w:rsid w:val="00dd4338"/>
    <w:pPr>
      <w:spacing w:beforeAutospacing="1" w:afterAutospacing="1"/>
      <w:jc w:val="both"/>
    </w:pPr>
    <w:rPr>
      <w:color w:val="000000"/>
      <w:sz w:val="27"/>
      <w:szCs w:val="27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ce5668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8a77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u-HU" w:eastAsia="hu-HU" w:bidi="ar-SA"/>
    </w:rPr>
  </w:style>
  <w:style w:type="paragraph" w:styleId="ListParagraph">
    <w:name w:val="List Paragraph"/>
    <w:basedOn w:val="Normal"/>
    <w:uiPriority w:val="34"/>
    <w:qFormat/>
    <w:rsid w:val="008a6f0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D552-C445-474E-9E17-227A0EE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LibreOffice/6.2.4.2$Windows_x86 LibreOffice_project/2412653d852ce75f65fbfa83fb7e7b669a126d64</Application>
  <Pages>3</Pages>
  <Words>1473</Words>
  <Characters>10140</Characters>
  <CharactersWithSpaces>11597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2021-09-10T10:53:00Z</dcterms:created>
  <dc:creator>Anita</dc:creator>
  <dc:description/>
  <dc:language>hu-HU</dc:language>
  <cp:lastModifiedBy/>
  <cp:lastPrinted>2020-01-23T09:25:00Z</cp:lastPrinted>
  <dcterms:modified xsi:type="dcterms:W3CDTF">2021-09-21T10:19:33Z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